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B85" w14:textId="77777777" w:rsidR="0097598B" w:rsidRPr="0097598B" w:rsidRDefault="0097598B" w:rsidP="0097598B">
      <w:pPr>
        <w:pStyle w:val="Word"/>
        <w:spacing w:line="365" w:lineRule="exact"/>
        <w:rPr>
          <w:color w:val="auto"/>
          <w:szCs w:val="24"/>
        </w:rPr>
      </w:pPr>
      <w:bookmarkStart w:id="0" w:name="_Hlk181375579"/>
      <w:r w:rsidRPr="0097598B">
        <w:rPr>
          <w:color w:val="auto"/>
          <w:szCs w:val="24"/>
        </w:rPr>
        <w:t>別紙様式第１２－１号（第３９条第２項（１）ア関係）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5E994AF2"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第３９条第２項（２）</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5272"/>
    <w:rsid w:val="00200F7B"/>
    <w:rsid w:val="00236045"/>
    <w:rsid w:val="0027053F"/>
    <w:rsid w:val="00293714"/>
    <w:rsid w:val="002C1889"/>
    <w:rsid w:val="002E582C"/>
    <w:rsid w:val="003000C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2.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3.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customXml/itemProps4.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2024-12-23T02:50:00Z</dcterms:created>
  <dcterms:modified xsi:type="dcterms:W3CDTF">2024-12-23T02:50:00Z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